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9693" w14:textId="534E1F06" w:rsidR="004A79E9" w:rsidRDefault="00C93134" w:rsidP="00AD23DB">
      <w:pPr>
        <w:spacing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93134">
        <w:rPr>
          <w:rFonts w:ascii="Times New Roman" w:hAnsi="Times New Roman" w:cs="Times New Roman"/>
          <w:b/>
          <w:color w:val="C00000"/>
          <w:sz w:val="28"/>
          <w:szCs w:val="28"/>
        </w:rPr>
        <w:t>Application Guide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Work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Permit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Exemption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Applications of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Foreigners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Who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Will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Work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in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Tea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and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Hazelnut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Agriculture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Within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the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Scope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of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Seasonal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>Agricultural</w:t>
      </w:r>
      <w:proofErr w:type="spellEnd"/>
      <w:r w:rsidR="004A79E9" w:rsidRPr="00D834D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B248FE">
        <w:rPr>
          <w:rFonts w:ascii="Times New Roman" w:hAnsi="Times New Roman" w:cs="Times New Roman"/>
          <w:b/>
          <w:color w:val="C00000"/>
          <w:sz w:val="28"/>
          <w:szCs w:val="28"/>
        </w:rPr>
        <w:t>Jobs</w:t>
      </w:r>
      <w:proofErr w:type="spellEnd"/>
      <w:r w:rsidR="004A79E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</w:t>
      </w:r>
    </w:p>
    <w:tbl>
      <w:tblPr>
        <w:tblStyle w:val="TabloKlavuzu"/>
        <w:tblpPr w:leftFromText="141" w:rightFromText="141" w:vertAnchor="text" w:tblpXSpec="center" w:tblpY="1"/>
        <w:tblOverlap w:val="never"/>
        <w:tblW w:w="10053" w:type="dxa"/>
        <w:tblLook w:val="04A0" w:firstRow="1" w:lastRow="0" w:firstColumn="1" w:lastColumn="0" w:noHBand="0" w:noVBand="1"/>
      </w:tblPr>
      <w:tblGrid>
        <w:gridCol w:w="2689"/>
        <w:gridCol w:w="7364"/>
      </w:tblGrid>
      <w:tr w:rsidR="004A79E9" w14:paraId="35846DC9" w14:textId="77777777" w:rsidTr="00D47499">
        <w:tc>
          <w:tcPr>
            <w:tcW w:w="2689" w:type="dxa"/>
          </w:tcPr>
          <w:p w14:paraId="5CAD264B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Where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Apply</w:t>
            </w:r>
            <w:proofErr w:type="spellEnd"/>
          </w:p>
        </w:tc>
        <w:tc>
          <w:tcPr>
            <w:tcW w:w="7364" w:type="dxa"/>
          </w:tcPr>
          <w:p w14:paraId="79A3017B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Application can be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foreigner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at </w:t>
            </w:r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https://emuafiyet.csgb.gov.tr</w:t>
            </w:r>
          </w:p>
          <w:p w14:paraId="7D7CBDA5" w14:textId="77777777" w:rsidR="004A79E9" w:rsidRPr="002812EE" w:rsidRDefault="004A79E9" w:rsidP="00D47499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“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can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gram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online</w:t>
            </w:r>
            <w:proofErr w:type="gram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without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need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any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physical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documents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.”</w:t>
            </w:r>
          </w:p>
        </w:tc>
      </w:tr>
      <w:tr w:rsidR="004A79E9" w14:paraId="193DBE37" w14:textId="77777777" w:rsidTr="00D47499">
        <w:trPr>
          <w:trHeight w:val="783"/>
        </w:trPr>
        <w:tc>
          <w:tcPr>
            <w:tcW w:w="2689" w:type="dxa"/>
          </w:tcPr>
          <w:p w14:paraId="347481D3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Application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Section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Selected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7364" w:type="dxa"/>
          </w:tcPr>
          <w:p w14:paraId="74A55244" w14:textId="77777777" w:rsidR="004A79E9" w:rsidRPr="002812EE" w:rsidRDefault="004A79E9" w:rsidP="00D47499">
            <w:pPr>
              <w:pStyle w:val="ListeParagraf"/>
              <w:spacing w:line="360" w:lineRule="auto"/>
              <w:ind w:left="323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After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logging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into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system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;</w:t>
            </w:r>
          </w:p>
          <w:p w14:paraId="0551FA03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subparagraph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Seasonal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Agriculture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Animal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Husbandry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Jobs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(g)</w:t>
            </w: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should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selected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34F0E995" w14:textId="77777777" w:rsidR="004A79E9" w:rsidRPr="002812EE" w:rsidRDefault="004A79E9" w:rsidP="00D47499">
            <w:pPr>
              <w:pStyle w:val="ListeParagraf"/>
              <w:spacing w:line="360" w:lineRule="auto"/>
              <w:ind w:left="4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Agricultere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&amp;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Livestock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Sector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sym w:font="Wingdings" w:char="F0E0"/>
            </w:r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Seasonal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Agriculture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Animal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Husbandry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Jobs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 xml:space="preserve"> (g)</w:t>
            </w:r>
          </w:p>
        </w:tc>
      </w:tr>
      <w:tr w:rsidR="004A79E9" w14:paraId="12095248" w14:textId="77777777" w:rsidTr="00D47499">
        <w:tc>
          <w:tcPr>
            <w:tcW w:w="2689" w:type="dxa"/>
          </w:tcPr>
          <w:p w14:paraId="70B70996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Legal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Basis</w:t>
            </w:r>
            <w:proofErr w:type="spellEnd"/>
          </w:p>
        </w:tc>
        <w:tc>
          <w:tcPr>
            <w:tcW w:w="7364" w:type="dxa"/>
          </w:tcPr>
          <w:p w14:paraId="38F7B5E1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Subparagraph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(g)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Article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48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International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Labour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Force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Law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No. 6735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dated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13.08.2016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Implementation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Regulation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International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Labour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Force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Law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dated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02.02.2022</w:t>
            </w:r>
          </w:p>
        </w:tc>
      </w:tr>
      <w:tr w:rsidR="004A79E9" w14:paraId="7C26E80C" w14:textId="77777777" w:rsidTr="00D47499">
        <w:trPr>
          <w:trHeight w:val="1137"/>
        </w:trPr>
        <w:tc>
          <w:tcPr>
            <w:tcW w:w="2689" w:type="dxa"/>
          </w:tcPr>
          <w:p w14:paraId="0AA649F5" w14:textId="77777777" w:rsidR="004A79E9" w:rsidRPr="002812EE" w:rsidRDefault="004A79E9" w:rsidP="00D47499">
            <w:pP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ja-JP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Who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Granted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Under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Subparagraph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(g)?</w:t>
            </w:r>
          </w:p>
        </w:tc>
        <w:tc>
          <w:tcPr>
            <w:tcW w:w="7364" w:type="dxa"/>
          </w:tcPr>
          <w:p w14:paraId="286FFF84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who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seasonal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agricultural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animal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husbandry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jobs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determined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Directorate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General.</w:t>
            </w:r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</w:p>
          <w:p w14:paraId="6BAA37AD" w14:textId="77777777" w:rsidR="004A79E9" w:rsidRPr="002812EE" w:rsidRDefault="004A79E9" w:rsidP="00D47499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“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Directorate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General has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determined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tea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hazelnut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agriculture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jobs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provinces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of Artvin, Giresun, Ordu, Rize, Samsun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Trabzon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within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scope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.”</w:t>
            </w:r>
          </w:p>
        </w:tc>
      </w:tr>
      <w:tr w:rsidR="004A79E9" w14:paraId="753A35B0" w14:textId="77777777" w:rsidTr="00D47499">
        <w:trPr>
          <w:trHeight w:val="980"/>
        </w:trPr>
        <w:tc>
          <w:tcPr>
            <w:tcW w:w="2689" w:type="dxa"/>
          </w:tcPr>
          <w:p w14:paraId="7BA10C77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How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Long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Can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?</w:t>
            </w:r>
          </w:p>
        </w:tc>
        <w:tc>
          <w:tcPr>
            <w:tcW w:w="7364" w:type="dxa"/>
            <w:vAlign w:val="center"/>
          </w:tcPr>
          <w:p w14:paraId="6C683806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tea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hazelnut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agriculture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jobs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up</w:t>
            </w:r>
            <w:proofErr w:type="spellEnd"/>
            <w:r w:rsidRPr="002812E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6 </w:t>
            </w:r>
            <w:proofErr w:type="spellStart"/>
            <w:r w:rsidRPr="002812E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months</w:t>
            </w:r>
            <w:proofErr w:type="spellEnd"/>
            <w:r w:rsidRPr="002812E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</w:p>
        </w:tc>
      </w:tr>
      <w:tr w:rsidR="004A79E9" w14:paraId="1387F5C2" w14:textId="77777777" w:rsidTr="00D47499">
        <w:trPr>
          <w:trHeight w:val="980"/>
        </w:trPr>
        <w:tc>
          <w:tcPr>
            <w:tcW w:w="2689" w:type="dxa"/>
          </w:tcPr>
          <w:p w14:paraId="552A9659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Occupation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Selected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During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Application in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7364" w:type="dxa"/>
          </w:tcPr>
          <w:p w14:paraId="5DD6C672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During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occupational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codes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suitable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activity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performed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should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selected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system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tea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harvesting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worker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hazelnut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harvesting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worker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agricultural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worker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etc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.)</w:t>
            </w:r>
          </w:p>
        </w:tc>
      </w:tr>
      <w:tr w:rsidR="004A79E9" w14:paraId="3DA35E36" w14:textId="77777777" w:rsidTr="00D47499">
        <w:trPr>
          <w:trHeight w:val="980"/>
        </w:trPr>
        <w:tc>
          <w:tcPr>
            <w:tcW w:w="2689" w:type="dxa"/>
          </w:tcPr>
          <w:p w14:paraId="61EBCDFE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Required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7364" w:type="dxa"/>
          </w:tcPr>
          <w:p w14:paraId="2E4A8428" w14:textId="77777777" w:rsidR="004A79E9" w:rsidRPr="002812EE" w:rsidRDefault="004A79E9" w:rsidP="00D47499">
            <w:pPr>
              <w:pStyle w:val="ListeParagraf"/>
              <w:spacing w:line="360" w:lineRule="auto"/>
              <w:ind w:left="323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following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documents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uploaded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system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during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: </w:t>
            </w:r>
          </w:p>
          <w:p w14:paraId="7BBCC82C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Passport</w:t>
            </w:r>
          </w:p>
          <w:p w14:paraId="1458316E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Work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Request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Form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Seasonal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Agriculture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Jobs</w:t>
            </w:r>
            <w:proofErr w:type="spellEnd"/>
          </w:p>
          <w:p w14:paraId="166CFCBD" w14:textId="77777777" w:rsidR="004A79E9" w:rsidRPr="002812EE" w:rsidRDefault="004A79E9" w:rsidP="00D47499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“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form, a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sample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which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can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found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Annex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which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includes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province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where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foreign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employee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employer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information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date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range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which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foreign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employee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uploaded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.”</w:t>
            </w:r>
          </w:p>
          <w:p w14:paraId="6E28A5D7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Service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Contract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If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any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)</w:t>
            </w:r>
          </w:p>
          <w:p w14:paraId="286F1860" w14:textId="77777777" w:rsidR="004A79E9" w:rsidRPr="002812EE" w:rsidRDefault="004A79E9" w:rsidP="00D47499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“A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mutually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signed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service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contract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between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foreign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employee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employer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uploaded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.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contract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signed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both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parties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.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Contracts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that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missing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signature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either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party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do not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contain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information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about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wage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received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foreigner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not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accepted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.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contract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be in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Turkish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English 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only</w:t>
            </w:r>
            <w:proofErr w:type="spellEnd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.”</w:t>
            </w:r>
          </w:p>
          <w:p w14:paraId="4906EAAC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Regarding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Employer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Farmer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Registration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System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) (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If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any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)</w:t>
            </w:r>
          </w:p>
          <w:p w14:paraId="2965B37C" w14:textId="77777777" w:rsidR="004A79E9" w:rsidRPr="002812EE" w:rsidRDefault="004A79E9" w:rsidP="00D47499">
            <w:pPr>
              <w:spacing w:line="360" w:lineRule="auto"/>
              <w:ind w:left="16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“</w:t>
            </w:r>
            <w:proofErr w:type="spellStart"/>
            <w:r w:rsidRPr="002812E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Farmer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Registration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System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Document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obtained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from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e-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Goverment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or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Provincial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/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District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Agricultural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Directorates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will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 xml:space="preserve"> be </w:t>
            </w:r>
            <w:proofErr w:type="spellStart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uploaded</w:t>
            </w:r>
            <w:proofErr w:type="spellEnd"/>
            <w:r w:rsidRPr="002812EE">
              <w:rPr>
                <w:rFonts w:ascii="Times New Roman" w:eastAsiaTheme="minorEastAsia" w:hAnsi="Times New Roman" w:cs="Times New Roman"/>
                <w:i/>
                <w:color w:val="000000" w:themeColor="text1"/>
                <w:szCs w:val="24"/>
                <w:lang w:eastAsia="ja-JP"/>
              </w:rPr>
              <w:t>.”</w:t>
            </w:r>
          </w:p>
        </w:tc>
      </w:tr>
      <w:tr w:rsidR="004A79E9" w14:paraId="01B2E460" w14:textId="77777777" w:rsidTr="00D47499">
        <w:tc>
          <w:tcPr>
            <w:tcW w:w="2689" w:type="dxa"/>
          </w:tcPr>
          <w:p w14:paraId="3F620001" w14:textId="77777777" w:rsidR="004A79E9" w:rsidRPr="002812EE" w:rsidRDefault="004A79E9" w:rsidP="00D4749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Important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Matters</w:t>
            </w:r>
            <w:proofErr w:type="spellEnd"/>
          </w:p>
        </w:tc>
        <w:tc>
          <w:tcPr>
            <w:tcW w:w="7364" w:type="dxa"/>
          </w:tcPr>
          <w:p w14:paraId="2DA6FDA8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himself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herself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7A5DE0F5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do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require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electronic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signature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7E8C096A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asessment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criteria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such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employment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quota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capital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gross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sales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etc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considered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</w:p>
          <w:p w14:paraId="5D5235CC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Applications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from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within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country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during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which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legally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present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country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this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context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;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our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Ministry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before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validity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'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ongoing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residence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expires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35E6AA8D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who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do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have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within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30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days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entry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into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Türkiye,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provided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that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visa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visa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exceeded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from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abroad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without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entering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Türkiye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going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Turkish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representation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country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where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abroad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applying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from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abroad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with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reference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number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given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relevant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representation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proofErr w:type="gramEnd"/>
          </w:p>
          <w:p w14:paraId="6D29BC16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Foreigners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who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have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completed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their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right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reside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Türkiye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with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visa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have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due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their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nationality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must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from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abroad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7521822A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has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identification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number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starting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with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9, it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necessary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enter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this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number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into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system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during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order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prove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that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foreigner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legally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present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country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date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218B6DEF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Application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extension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possible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</w:p>
          <w:p w14:paraId="7D053A38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New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cannot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made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under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subparagraph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(g)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until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twelve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months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has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passed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from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date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issuance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4C9772B9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valuable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paper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can be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2812E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online</w:t>
            </w:r>
            <w:proofErr w:type="gram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through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Digital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Tax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Office (dijital.gib.gov.tr).</w:t>
            </w:r>
          </w:p>
          <w:p w14:paraId="69191120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requested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will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 sent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by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PTT Cargo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address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declared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during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  <w:tr w:rsidR="004A79E9" w14:paraId="5C4963FC" w14:textId="77777777" w:rsidTr="00D47499">
        <w:tc>
          <w:tcPr>
            <w:tcW w:w="2689" w:type="dxa"/>
          </w:tcPr>
          <w:p w14:paraId="46EFF1FE" w14:textId="77777777" w:rsidR="004A79E9" w:rsidRPr="002812EE" w:rsidRDefault="004A79E9" w:rsidP="00D47499">
            <w:pPr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Work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Fee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364" w:type="dxa"/>
          </w:tcPr>
          <w:p w14:paraId="7E23832D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3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months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336C4764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No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less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than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months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5BFB8C7C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Details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regarding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current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amount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payment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method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available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website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Directorate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General of International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Labour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Force. (https://www.csgb.gov.tr/uigm)  </w:t>
            </w:r>
          </w:p>
        </w:tc>
      </w:tr>
      <w:tr w:rsidR="004A79E9" w14:paraId="1012A845" w14:textId="77777777" w:rsidTr="00D47499">
        <w:tc>
          <w:tcPr>
            <w:tcW w:w="2689" w:type="dxa"/>
          </w:tcPr>
          <w:p w14:paraId="068DACD1" w14:textId="77777777" w:rsidR="004A79E9" w:rsidRPr="002812EE" w:rsidRDefault="004A79E9" w:rsidP="00D4749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Valuable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Paper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14:paraId="042B817B" w14:textId="77777777" w:rsidR="004A79E9" w:rsidRPr="002812EE" w:rsidRDefault="004A79E9" w:rsidP="00D47499">
            <w:pPr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Fee</w:t>
            </w:r>
            <w:proofErr w:type="spellEnd"/>
          </w:p>
          <w:p w14:paraId="1412FDF7" w14:textId="77777777" w:rsidR="004A79E9" w:rsidRPr="002812EE" w:rsidRDefault="004A79E9" w:rsidP="00D4749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37A59BA3" w14:textId="77777777" w:rsidR="004A79E9" w:rsidRPr="002812EE" w:rsidRDefault="004A79E9" w:rsidP="00D47499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64" w:type="dxa"/>
          </w:tcPr>
          <w:p w14:paraId="67508AD0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period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3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months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valuable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paper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sent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address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specified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application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17EA3C29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Details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regarding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current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amount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valuable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paper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payment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method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are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available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website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Directorate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General of International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Labour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Force. (https://www.csgb.gov.tr/uigm)</w:t>
            </w:r>
          </w:p>
        </w:tc>
      </w:tr>
      <w:tr w:rsidR="004A79E9" w14:paraId="50C1F400" w14:textId="77777777" w:rsidTr="00D47499">
        <w:tc>
          <w:tcPr>
            <w:tcW w:w="2689" w:type="dxa"/>
          </w:tcPr>
          <w:p w14:paraId="36CE1B76" w14:textId="77777777" w:rsidR="004A79E9" w:rsidRPr="002812EE" w:rsidRDefault="004A79E9" w:rsidP="00D4749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7364" w:type="dxa"/>
          </w:tcPr>
          <w:p w14:paraId="1C0040C8" w14:textId="1A13DDCE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issued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for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less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than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months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requested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valuable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paper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</w:t>
            </w:r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>it</w:t>
            </w:r>
            <w:proofErr w:type="spellEnd"/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sent. </w:t>
            </w:r>
            <w:proofErr w:type="spellStart"/>
            <w:r w:rsidR="00F503A7">
              <w:rPr>
                <w:rFonts w:ascii="Times New Roman" w:hAnsi="Times New Roman" w:cs="Times New Roman"/>
                <w:color w:val="000000" w:themeColor="text1"/>
                <w:szCs w:val="24"/>
              </w:rPr>
              <w:t>I</w:t>
            </w: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requested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valuable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paper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fee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not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paid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only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digital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proof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document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sent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registered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e-mail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address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</w:p>
        </w:tc>
      </w:tr>
      <w:tr w:rsidR="004A79E9" w14:paraId="5D5CD99A" w14:textId="77777777" w:rsidTr="00D47499">
        <w:tc>
          <w:tcPr>
            <w:tcW w:w="2689" w:type="dxa"/>
          </w:tcPr>
          <w:p w14:paraId="3BBA7872" w14:textId="0BFB55A2" w:rsidR="004A79E9" w:rsidRPr="002812EE" w:rsidRDefault="005F4F50" w:rsidP="00D4749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What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Does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8E60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the</w:t>
            </w:r>
            <w:proofErr w:type="spellEnd"/>
            <w:r w:rsidR="008E60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Work</w:t>
            </w:r>
            <w:proofErr w:type="spellEnd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Permit</w:t>
            </w:r>
            <w:proofErr w:type="spellEnd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Exemption</w:t>
            </w:r>
            <w:proofErr w:type="spellEnd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Provide</w:t>
            </w:r>
            <w:proofErr w:type="spellEnd"/>
            <w:r w:rsidR="004A79E9"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?</w:t>
            </w:r>
          </w:p>
        </w:tc>
        <w:tc>
          <w:tcPr>
            <w:tcW w:w="7364" w:type="dxa"/>
          </w:tcPr>
          <w:p w14:paraId="7BAB7C16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Right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work</w:t>
            </w:r>
            <w:proofErr w:type="spellEnd"/>
          </w:p>
          <w:p w14:paraId="7CC44D8D" w14:textId="41A7D7F4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Right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reside</w:t>
            </w:r>
            <w:proofErr w:type="spellEnd"/>
          </w:p>
          <w:p w14:paraId="11E01A47" w14:textId="24B8C925" w:rsidR="004A79E9" w:rsidRPr="002812EE" w:rsidRDefault="00AA61BE" w:rsidP="00AA61BE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</w:t>
            </w:r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ight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make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multiple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entries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exits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>to</w:t>
            </w:r>
            <w:proofErr w:type="spellEnd"/>
            <w:r w:rsidRPr="00AA61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Türkiye</w:t>
            </w:r>
          </w:p>
        </w:tc>
      </w:tr>
      <w:tr w:rsidR="004A79E9" w14:paraId="15165E27" w14:textId="77777777" w:rsidTr="00D47499">
        <w:tc>
          <w:tcPr>
            <w:tcW w:w="2689" w:type="dxa"/>
          </w:tcPr>
          <w:p w14:paraId="4E14D18B" w14:textId="77777777" w:rsidR="004A79E9" w:rsidRPr="002812EE" w:rsidRDefault="004A79E9" w:rsidP="00D47499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Where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Work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Permit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Exemption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Valid</w:t>
            </w:r>
            <w:proofErr w:type="spellEnd"/>
            <w:r w:rsidRPr="002812E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?</w:t>
            </w:r>
          </w:p>
        </w:tc>
        <w:tc>
          <w:tcPr>
            <w:tcW w:w="7364" w:type="dxa"/>
          </w:tcPr>
          <w:p w14:paraId="0FB7B138" w14:textId="77777777" w:rsidR="004A79E9" w:rsidRPr="002812EE" w:rsidRDefault="004A79E9" w:rsidP="00D47499">
            <w:pPr>
              <w:pStyle w:val="ListeParagraf"/>
              <w:numPr>
                <w:ilvl w:val="0"/>
                <w:numId w:val="11"/>
              </w:numPr>
              <w:spacing w:line="360" w:lineRule="auto"/>
              <w:ind w:left="321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It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is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valid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the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provinces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Artvin, Giresun, Ordu, Rize, Samsun </w:t>
            </w:r>
            <w:proofErr w:type="spellStart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>and</w:t>
            </w:r>
            <w:proofErr w:type="spellEnd"/>
            <w:r w:rsidRPr="002812E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Trabzon.</w:t>
            </w:r>
          </w:p>
        </w:tc>
      </w:tr>
    </w:tbl>
    <w:p w14:paraId="1626C979" w14:textId="77777777" w:rsidR="004A79E9" w:rsidRDefault="004A79E9" w:rsidP="004A79E9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</w:p>
    <w:p w14:paraId="690BEF7C" w14:textId="77777777" w:rsidR="004A79E9" w:rsidRPr="00257728" w:rsidRDefault="004A79E9" w:rsidP="004A79E9">
      <w:pPr>
        <w:tabs>
          <w:tab w:val="left" w:pos="2904"/>
        </w:tabs>
        <w:rPr>
          <w:rFonts w:ascii="Times New Roman" w:hAnsi="Times New Roman" w:cs="Times New Roman"/>
          <w:sz w:val="28"/>
          <w:szCs w:val="28"/>
        </w:rPr>
      </w:pPr>
    </w:p>
    <w:p w14:paraId="157C9892" w14:textId="19604CE3" w:rsidR="007F592B" w:rsidRDefault="007F592B" w:rsidP="004A79E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  <w:sectPr w:rsidR="007F592B" w:rsidSect="00A475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851" w:left="1134" w:header="709" w:footer="215" w:gutter="0"/>
          <w:pgBorders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08"/>
          <w:titlePg/>
          <w:docGrid w:linePitch="360"/>
        </w:sectPr>
      </w:pPr>
    </w:p>
    <w:p w14:paraId="2BF224AD" w14:textId="50AFD0A9" w:rsidR="00947F9F" w:rsidRDefault="00947F9F" w:rsidP="00B372E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947F9F" w:rsidSect="00A47539">
      <w:headerReference w:type="default" r:id="rId12"/>
      <w:type w:val="continuous"/>
      <w:pgSz w:w="11906" w:h="16838"/>
      <w:pgMar w:top="720" w:right="720" w:bottom="720" w:left="720" w:header="567" w:footer="215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A3C1" w14:textId="77777777" w:rsidR="006846DE" w:rsidRDefault="006846DE" w:rsidP="00913D66">
      <w:pPr>
        <w:spacing w:after="0" w:line="240" w:lineRule="auto"/>
      </w:pPr>
      <w:r>
        <w:separator/>
      </w:r>
    </w:p>
  </w:endnote>
  <w:endnote w:type="continuationSeparator" w:id="0">
    <w:p w14:paraId="1023B77B" w14:textId="77777777" w:rsidR="006846DE" w:rsidRDefault="006846DE" w:rsidP="0091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437361"/>
      <w:docPartObj>
        <w:docPartGallery w:val="Page Numbers (Bottom of Page)"/>
        <w:docPartUnique/>
      </w:docPartObj>
    </w:sdtPr>
    <w:sdtEndPr>
      <w:rPr>
        <w:rFonts w:ascii="Minion Pro" w:hAnsi="Minion Pro"/>
        <w:sz w:val="24"/>
        <w:szCs w:val="24"/>
      </w:rPr>
    </w:sdtEndPr>
    <w:sdtContent>
      <w:p w14:paraId="29451CF3" w14:textId="63C65F61" w:rsidR="00E001CE" w:rsidRPr="00E001CE" w:rsidRDefault="006846DE" w:rsidP="00801AAE">
        <w:pPr>
          <w:pStyle w:val="AltBilgi"/>
          <w:jc w:val="center"/>
          <w:rPr>
            <w:rFonts w:ascii="Minion Pro" w:hAnsi="Minion Pro"/>
            <w:sz w:val="24"/>
            <w:szCs w:val="24"/>
          </w:rPr>
        </w:pPr>
      </w:p>
    </w:sdtContent>
  </w:sdt>
  <w:p w14:paraId="5B745C09" w14:textId="77777777" w:rsidR="00C956DD" w:rsidRPr="00C956DD" w:rsidRDefault="00C956DD" w:rsidP="00C956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C25D" w14:textId="77777777" w:rsidR="00FE38B3" w:rsidRDefault="00102022" w:rsidP="00415D8D">
    <w:pPr>
      <w:pStyle w:val="AltBilgi"/>
      <w:tabs>
        <w:tab w:val="clear" w:pos="4536"/>
        <w:tab w:val="clear" w:pos="9072"/>
        <w:tab w:val="left" w:pos="6825"/>
      </w:tabs>
      <w:rPr>
        <w:rFonts w:ascii="Minion Pro" w:hAnsi="Minion Pro"/>
        <w:sz w:val="24"/>
        <w:szCs w:val="24"/>
      </w:rPr>
    </w:pPr>
    <w:r w:rsidRPr="00102022">
      <w:rPr>
        <w:rFonts w:ascii="Minion Pro" w:hAnsi="Minion Pro"/>
        <w:noProof/>
        <w:color w:val="FF0000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E83227" wp14:editId="4DD8CFCB">
              <wp:simplePos x="0" y="0"/>
              <wp:positionH relativeFrom="page">
                <wp:align>right</wp:align>
              </wp:positionH>
              <wp:positionV relativeFrom="paragraph">
                <wp:posOffset>75738</wp:posOffset>
              </wp:positionV>
              <wp:extent cx="7488000" cy="0"/>
              <wp:effectExtent l="38100" t="57150" r="55880" b="57150"/>
              <wp:wrapNone/>
              <wp:docPr id="44" name="Düz Bağlayıcı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80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DA291C"/>
                        </a:solidFill>
                        <a:prstDash val="sysDot"/>
                        <a:bevel/>
                        <a:headEnd w="sm" len="sm"/>
                        <a:tailEnd type="none"/>
                      </a:ln>
                      <a:effectLst>
                        <a:innerShdw blurRad="63500" dist="50800" dir="10800000">
                          <a:prstClr val="black">
                            <a:alpha val="50000"/>
                          </a:prstClr>
                        </a:innerShdw>
                      </a:effectLst>
                      <a:scene3d>
                        <a:camera prst="orthographicFront"/>
                        <a:lightRig rig="threePt" dir="t"/>
                      </a:scene3d>
                      <a:sp3d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9A0BDB8" id="Düz Bağlayıcı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8.4pt,5.95pt" to="112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" strokecolor="#da291c" strokeweight="1.5pt">
              <v:stroke dashstyle="1 1" startarrowwidth="narrow" startarrowlength="short" joinstyle="bevel"/>
              <w10:wrap anchorx="page"/>
            </v:line>
          </w:pict>
        </mc:Fallback>
      </mc:AlternateConten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26"/>
      <w:gridCol w:w="4954"/>
    </w:tblGrid>
    <w:tr w:rsidR="00C8570F" w14:paraId="150B4A24" w14:textId="77777777" w:rsidTr="00C8570F">
      <w:tc>
        <w:tcPr>
          <w:tcW w:w="4531" w:type="dxa"/>
        </w:tcPr>
        <w:p w14:paraId="2BBC2E92" w14:textId="77777777" w:rsidR="00C8570F" w:rsidRPr="00415D8D" w:rsidRDefault="00C8570F" w:rsidP="00C8570F">
          <w:pPr>
            <w:pStyle w:val="AltBilgi"/>
            <w:tabs>
              <w:tab w:val="clear" w:pos="4536"/>
              <w:tab w:val="clear" w:pos="9072"/>
              <w:tab w:val="left" w:pos="6825"/>
            </w:tabs>
            <w:spacing w:line="276" w:lineRule="auto"/>
            <w:rPr>
              <w:rFonts w:ascii="Minion Pro" w:hAnsi="Minion Pro"/>
              <w:sz w:val="24"/>
              <w:szCs w:val="24"/>
            </w:rPr>
          </w:pPr>
          <w:r w:rsidRPr="00415D8D">
            <w:rPr>
              <w:rFonts w:ascii="Minion Pro" w:hAnsi="Minion Pro"/>
              <w:sz w:val="24"/>
              <w:szCs w:val="24"/>
            </w:rPr>
            <w:t xml:space="preserve">Emek Mahallesi, </w:t>
          </w:r>
          <w:r>
            <w:rPr>
              <w:rFonts w:ascii="Minion Pro" w:hAnsi="Minion Pro"/>
              <w:sz w:val="24"/>
              <w:szCs w:val="24"/>
            </w:rPr>
            <w:t xml:space="preserve">Bosna-Hersek Cad. No:29,                         </w:t>
          </w:r>
        </w:p>
        <w:p w14:paraId="6D536723" w14:textId="77777777" w:rsidR="00C8570F" w:rsidRDefault="00C8570F" w:rsidP="00C8570F">
          <w:pPr>
            <w:pStyle w:val="AltBilgi"/>
            <w:tabs>
              <w:tab w:val="left" w:pos="6855"/>
              <w:tab w:val="left" w:pos="6930"/>
            </w:tabs>
            <w:spacing w:line="276" w:lineRule="auto"/>
            <w:rPr>
              <w:rFonts w:ascii="Minion Pro" w:hAnsi="Minion Pro"/>
              <w:sz w:val="24"/>
              <w:szCs w:val="24"/>
            </w:rPr>
          </w:pPr>
          <w:r w:rsidRPr="00415D8D">
            <w:rPr>
              <w:rFonts w:ascii="Minion Pro" w:hAnsi="Minion Pro"/>
              <w:sz w:val="24"/>
              <w:szCs w:val="24"/>
            </w:rPr>
            <w:t>06490</w:t>
          </w:r>
          <w:r w:rsidR="00431595">
            <w:rPr>
              <w:rFonts w:ascii="Minion Pro" w:hAnsi="Minion Pro"/>
              <w:sz w:val="24"/>
              <w:szCs w:val="24"/>
            </w:rPr>
            <w:t>,</w:t>
          </w:r>
          <w:r w:rsidRPr="00415D8D">
            <w:rPr>
              <w:rFonts w:ascii="Minion Pro" w:hAnsi="Minion Pro"/>
              <w:sz w:val="24"/>
              <w:szCs w:val="24"/>
            </w:rPr>
            <w:t xml:space="preserve"> Ç</w:t>
          </w:r>
          <w:r>
            <w:rPr>
              <w:rFonts w:ascii="Minion Pro" w:hAnsi="Minion Pro"/>
              <w:sz w:val="24"/>
              <w:szCs w:val="24"/>
            </w:rPr>
            <w:t>ankaya, Ankara, TÜRKİYE</w:t>
          </w:r>
        </w:p>
        <w:p w14:paraId="33A88A39" w14:textId="77777777" w:rsidR="00C8570F" w:rsidRDefault="00C8570F" w:rsidP="00C8570F">
          <w:pPr>
            <w:pStyle w:val="AltBilgi"/>
            <w:tabs>
              <w:tab w:val="left" w:pos="6855"/>
              <w:tab w:val="left" w:pos="6930"/>
            </w:tabs>
            <w:spacing w:line="276" w:lineRule="auto"/>
            <w:rPr>
              <w:rStyle w:val="oypena"/>
              <w:rFonts w:ascii="Minion Pro" w:hAnsi="Minion Pro" w:cs="Times New Roman"/>
              <w:bCs/>
              <w:color w:val="53565A"/>
              <w:sz w:val="24"/>
              <w:szCs w:val="24"/>
            </w:rPr>
          </w:pPr>
          <w:r w:rsidRPr="00415D8D">
            <w:rPr>
              <w:rFonts w:ascii="Minion Pro" w:hAnsi="Minion Pro"/>
              <w:sz w:val="24"/>
              <w:szCs w:val="24"/>
            </w:rPr>
            <w:t>https://www.csgb.gov.tr/uigm</w:t>
          </w:r>
          <w:r w:rsidRPr="00415D8D">
            <w:rPr>
              <w:rFonts w:ascii="Minion Pro" w:hAnsi="Minion Pro"/>
              <w:sz w:val="24"/>
              <w:szCs w:val="24"/>
            </w:rPr>
            <w:tab/>
          </w:r>
          <w:r>
            <w:rPr>
              <w:rFonts w:ascii="Minion Pro" w:hAnsi="Minion Pro"/>
              <w:sz w:val="24"/>
              <w:szCs w:val="24"/>
            </w:rPr>
            <w:t xml:space="preserve">             </w:t>
          </w:r>
          <w:r w:rsidRPr="00C809FE">
            <w:rPr>
              <w:rFonts w:ascii="Minion Pro" w:hAnsi="Minion Pro"/>
              <w:color w:val="000000" w:themeColor="text1"/>
              <w:sz w:val="24"/>
              <w:szCs w:val="24"/>
            </w:rPr>
            <w:t xml:space="preserve"> </w:t>
          </w:r>
        </w:p>
      </w:tc>
      <w:tc>
        <w:tcPr>
          <w:tcW w:w="426" w:type="dxa"/>
          <w:vAlign w:val="center"/>
        </w:tcPr>
        <w:p w14:paraId="63CB84BF" w14:textId="77777777" w:rsidR="00C8570F" w:rsidRDefault="00C8570F" w:rsidP="00C8570F">
          <w:pPr>
            <w:tabs>
              <w:tab w:val="left" w:pos="0"/>
            </w:tabs>
            <w:spacing w:line="276" w:lineRule="auto"/>
            <w:rPr>
              <w:rStyle w:val="oypena"/>
              <w:rFonts w:ascii="Minion Pro" w:hAnsi="Minion Pro" w:cs="Times New Roman"/>
              <w:bCs/>
              <w:color w:val="53565A"/>
              <w:sz w:val="24"/>
              <w:szCs w:val="24"/>
            </w:rPr>
          </w:pPr>
        </w:p>
      </w:tc>
      <w:tc>
        <w:tcPr>
          <w:tcW w:w="4954" w:type="dxa"/>
        </w:tcPr>
        <w:p w14:paraId="11B07DA3" w14:textId="77777777" w:rsidR="00C8570F" w:rsidRDefault="00C8570F" w:rsidP="00C8570F">
          <w:pPr>
            <w:pStyle w:val="AltBilgi"/>
            <w:tabs>
              <w:tab w:val="left" w:pos="6855"/>
              <w:tab w:val="left" w:pos="6930"/>
            </w:tabs>
            <w:bidi/>
            <w:spacing w:line="276" w:lineRule="auto"/>
            <w:rPr>
              <w:rFonts w:ascii="Minion Pro" w:hAnsi="Minion Pro"/>
              <w:sz w:val="24"/>
              <w:szCs w:val="24"/>
            </w:rPr>
          </w:pPr>
          <w:r w:rsidRPr="00415D8D">
            <w:rPr>
              <w:rFonts w:ascii="Minion Pro" w:hAnsi="Minion Pro"/>
              <w:sz w:val="24"/>
              <w:szCs w:val="24"/>
            </w:rPr>
            <w:t>+90 312 296 6000</w:t>
          </w:r>
        </w:p>
        <w:p w14:paraId="3AD09F6C" w14:textId="7DF37DD8" w:rsidR="00C8570F" w:rsidRDefault="00FB473F" w:rsidP="00FB473F">
          <w:pPr>
            <w:pStyle w:val="AltBilgi"/>
            <w:tabs>
              <w:tab w:val="left" w:pos="6855"/>
              <w:tab w:val="left" w:pos="6930"/>
            </w:tabs>
            <w:bidi/>
            <w:spacing w:line="276" w:lineRule="auto"/>
            <w:rPr>
              <w:rStyle w:val="Kpr"/>
              <w:rFonts w:ascii="Minion Pro" w:hAnsi="Minion Pro"/>
              <w:color w:val="000000" w:themeColor="text1"/>
              <w:sz w:val="24"/>
              <w:szCs w:val="24"/>
              <w:u w:val="none"/>
            </w:rPr>
          </w:pPr>
          <w:r w:rsidRPr="00FB473F">
            <w:rPr>
              <w:rStyle w:val="Kpr"/>
              <w:rFonts w:ascii="Minion Pro" w:hAnsi="Minion Pro"/>
              <w:color w:val="000000" w:themeColor="text1"/>
              <w:sz w:val="24"/>
              <w:szCs w:val="24"/>
              <w:u w:val="none"/>
            </w:rPr>
            <w:t>emuafiyetdestek@csgb.gov.tr</w:t>
          </w:r>
        </w:p>
        <w:p w14:paraId="7080B777" w14:textId="13CED857" w:rsidR="00C8570F" w:rsidRPr="00670DAC" w:rsidRDefault="00C8570F" w:rsidP="00C8570F">
          <w:pPr>
            <w:pStyle w:val="AltBilgi"/>
            <w:tabs>
              <w:tab w:val="left" w:pos="6855"/>
              <w:tab w:val="left" w:pos="6930"/>
            </w:tabs>
            <w:spacing w:line="276" w:lineRule="auto"/>
            <w:rPr>
              <w:rStyle w:val="oypena"/>
              <w:rFonts w:ascii="Minion Pro" w:hAnsi="Minion Pro"/>
              <w:color w:val="000000" w:themeColor="text1"/>
              <w:sz w:val="24"/>
              <w:szCs w:val="24"/>
            </w:rPr>
          </w:pPr>
          <w:r w:rsidRPr="00C8570F">
            <w:rPr>
              <w:rStyle w:val="oypena"/>
              <w:rFonts w:ascii="Minion Pro" w:hAnsi="Minion Pro"/>
              <w:color w:val="000000" w:themeColor="text1"/>
              <w:sz w:val="24"/>
              <w:szCs w:val="24"/>
            </w:rPr>
            <w:fldChar w:fldCharType="begin"/>
          </w:r>
          <w:r w:rsidRPr="00C8570F">
            <w:rPr>
              <w:rStyle w:val="oypena"/>
              <w:rFonts w:ascii="Minion Pro" w:hAnsi="Minion Pro"/>
              <w:color w:val="000000" w:themeColor="text1"/>
              <w:sz w:val="24"/>
              <w:szCs w:val="24"/>
            </w:rPr>
            <w:instrText>PAGE   \* MERGEFORMAT</w:instrText>
          </w:r>
          <w:r w:rsidRPr="00C8570F">
            <w:rPr>
              <w:rStyle w:val="oypena"/>
              <w:rFonts w:ascii="Minion Pro" w:hAnsi="Minion Pro"/>
              <w:color w:val="000000" w:themeColor="text1"/>
              <w:sz w:val="24"/>
              <w:szCs w:val="24"/>
            </w:rPr>
            <w:fldChar w:fldCharType="separate"/>
          </w:r>
          <w:r w:rsidR="008E6048" w:rsidRPr="008E6048">
            <w:rPr>
              <w:rStyle w:val="oypena"/>
              <w:rFonts w:ascii="Minion Pro" w:hAnsi="Minion Pro"/>
              <w:noProof/>
              <w:color w:val="000000" w:themeColor="text1"/>
              <w:szCs w:val="24"/>
            </w:rPr>
            <w:t>1</w:t>
          </w:r>
          <w:r w:rsidRPr="00C8570F">
            <w:rPr>
              <w:rStyle w:val="oypena"/>
              <w:rFonts w:ascii="Minion Pro" w:hAnsi="Minion Pro"/>
              <w:color w:val="000000" w:themeColor="text1"/>
              <w:sz w:val="24"/>
              <w:szCs w:val="24"/>
            </w:rPr>
            <w:fldChar w:fldCharType="end"/>
          </w:r>
        </w:p>
      </w:tc>
    </w:tr>
  </w:tbl>
  <w:p w14:paraId="6D280EEF" w14:textId="77777777" w:rsidR="00F90AC1" w:rsidRDefault="00F90AC1" w:rsidP="00FE38B3">
    <w:pPr>
      <w:pStyle w:val="AltBilgi"/>
      <w:tabs>
        <w:tab w:val="clear" w:pos="4536"/>
        <w:tab w:val="clear" w:pos="9072"/>
        <w:tab w:val="left" w:pos="6825"/>
      </w:tabs>
      <w:rPr>
        <w:rFonts w:ascii="Minion Pro" w:hAnsi="Minion 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96F9" w14:textId="77777777" w:rsidR="006846DE" w:rsidRDefault="006846DE" w:rsidP="00913D66">
      <w:pPr>
        <w:spacing w:after="0" w:line="240" w:lineRule="auto"/>
      </w:pPr>
      <w:r>
        <w:separator/>
      </w:r>
    </w:p>
  </w:footnote>
  <w:footnote w:type="continuationSeparator" w:id="0">
    <w:p w14:paraId="09B813D8" w14:textId="77777777" w:rsidR="006846DE" w:rsidRDefault="006846DE" w:rsidP="0091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5FB6" w14:textId="77777777" w:rsidR="00415D8D" w:rsidRDefault="00C956DD" w:rsidP="00415D8D">
    <w:pPr>
      <w:pStyle w:val="stBilgi"/>
    </w:pPr>
    <w:r>
      <w:rPr>
        <w:rFonts w:ascii="Minion Pro" w:hAnsi="Minion Pro"/>
        <w:noProof/>
        <w:color w:val="DA291C"/>
        <w:sz w:val="24"/>
        <w:szCs w:val="24"/>
        <w:lang w:eastAsia="tr-TR"/>
      </w:rPr>
      <w:drawing>
        <wp:anchor distT="0" distB="0" distL="114300" distR="114300" simplePos="0" relativeHeight="251662336" behindDoc="0" locked="0" layoutInCell="1" allowOverlap="1" wp14:anchorId="5FD90744" wp14:editId="23F8A6ED">
          <wp:simplePos x="0" y="0"/>
          <wp:positionH relativeFrom="margin">
            <wp:posOffset>6350</wp:posOffset>
          </wp:positionH>
          <wp:positionV relativeFrom="margin">
            <wp:posOffset>-1010285</wp:posOffset>
          </wp:positionV>
          <wp:extent cx="3133090" cy="719455"/>
          <wp:effectExtent l="0" t="0" r="0" b="444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_Group_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0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1528A92B" wp14:editId="53EE8CA5">
          <wp:simplePos x="0" y="0"/>
          <wp:positionH relativeFrom="margin">
            <wp:align>right</wp:align>
          </wp:positionH>
          <wp:positionV relativeFrom="margin">
            <wp:posOffset>-882650</wp:posOffset>
          </wp:positionV>
          <wp:extent cx="820420" cy="46037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utput-onlinepngtool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7" t="27802" r="17901" b="23653"/>
                  <a:stretch/>
                </pic:blipFill>
                <pic:spPr bwMode="auto">
                  <a:xfrm>
                    <a:off x="0" y="0"/>
                    <a:ext cx="8204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7390E7" w14:textId="77777777" w:rsidR="00415D8D" w:rsidRDefault="00415D8D" w:rsidP="00415D8D">
    <w:pPr>
      <w:pStyle w:val="stBilgi"/>
    </w:pPr>
  </w:p>
  <w:p w14:paraId="5F8AA1D7" w14:textId="77777777" w:rsidR="00415D8D" w:rsidRDefault="00415D8D" w:rsidP="00415D8D">
    <w:pPr>
      <w:pStyle w:val="stBilgi"/>
    </w:pPr>
  </w:p>
  <w:p w14:paraId="646FB096" w14:textId="77777777" w:rsidR="00415D8D" w:rsidRDefault="00415D8D" w:rsidP="00415D8D">
    <w:pPr>
      <w:pStyle w:val="stBilgi"/>
    </w:pPr>
  </w:p>
  <w:p w14:paraId="2BD65185" w14:textId="77777777" w:rsidR="00415D8D" w:rsidRDefault="00415D8D" w:rsidP="00415D8D">
    <w:pPr>
      <w:pStyle w:val="stBilgi"/>
    </w:pPr>
  </w:p>
  <w:p w14:paraId="58022BCA" w14:textId="77777777" w:rsidR="00415D8D" w:rsidRDefault="00415D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DFBB" w14:textId="77777777" w:rsidR="00415D8D" w:rsidRDefault="00415D8D" w:rsidP="00415D8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1966E5C" wp14:editId="03147FCA">
          <wp:simplePos x="0" y="0"/>
          <wp:positionH relativeFrom="margin">
            <wp:align>right</wp:align>
          </wp:positionH>
          <wp:positionV relativeFrom="margin">
            <wp:posOffset>-886460</wp:posOffset>
          </wp:positionV>
          <wp:extent cx="821690" cy="461010"/>
          <wp:effectExtent l="0" t="0" r="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0YY-@4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38" t="27310" r="17334" b="23533"/>
                  <a:stretch/>
                </pic:blipFill>
                <pic:spPr bwMode="auto">
                  <a:xfrm>
                    <a:off x="0" y="0"/>
                    <a:ext cx="821690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inion Pro" w:hAnsi="Minion Pro"/>
        <w:noProof/>
        <w:color w:val="DA291C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4771CFC" wp14:editId="289FC228">
          <wp:simplePos x="0" y="0"/>
          <wp:positionH relativeFrom="margin">
            <wp:align>left</wp:align>
          </wp:positionH>
          <wp:positionV relativeFrom="margin">
            <wp:posOffset>-1014095</wp:posOffset>
          </wp:positionV>
          <wp:extent cx="3138805" cy="719455"/>
          <wp:effectExtent l="0" t="0" r="4445" b="444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_Group_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88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E0E5D8" w14:textId="77777777" w:rsidR="00415D8D" w:rsidRDefault="00415D8D" w:rsidP="00415D8D">
    <w:pPr>
      <w:pStyle w:val="stBilgi"/>
    </w:pPr>
  </w:p>
  <w:p w14:paraId="15DE724D" w14:textId="77777777" w:rsidR="00415D8D" w:rsidRDefault="00415D8D" w:rsidP="00415D8D">
    <w:pPr>
      <w:pStyle w:val="stBilgi"/>
    </w:pPr>
  </w:p>
  <w:p w14:paraId="11D3BDEE" w14:textId="77777777" w:rsidR="00415D8D" w:rsidRDefault="00415D8D" w:rsidP="00415D8D">
    <w:pPr>
      <w:pStyle w:val="stBilgi"/>
    </w:pPr>
  </w:p>
  <w:p w14:paraId="032A11A8" w14:textId="77777777" w:rsidR="00415D8D" w:rsidRDefault="00415D8D" w:rsidP="00415D8D">
    <w:pPr>
      <w:pStyle w:val="stBilgi"/>
    </w:pPr>
  </w:p>
  <w:p w14:paraId="7FF4045D" w14:textId="77777777" w:rsidR="00415D8D" w:rsidRDefault="00415D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B0CE" w14:textId="77777777" w:rsidR="007F592B" w:rsidRDefault="007F59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409"/>
    <w:multiLevelType w:val="hybridMultilevel"/>
    <w:tmpl w:val="5D04F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8DA"/>
    <w:multiLevelType w:val="hybridMultilevel"/>
    <w:tmpl w:val="A9F82630"/>
    <w:lvl w:ilvl="0" w:tplc="F3FA7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F1D"/>
    <w:multiLevelType w:val="hybridMultilevel"/>
    <w:tmpl w:val="E03E2922"/>
    <w:lvl w:ilvl="0" w:tplc="F3FA7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611F"/>
    <w:multiLevelType w:val="hybridMultilevel"/>
    <w:tmpl w:val="8F60F358"/>
    <w:lvl w:ilvl="0" w:tplc="B5062D98">
      <w:start w:val="1"/>
      <w:numFmt w:val="upperLetter"/>
      <w:lvlText w:val="%1.)"/>
      <w:lvlJc w:val="left"/>
      <w:pPr>
        <w:ind w:left="1143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22B47"/>
    <w:multiLevelType w:val="hybridMultilevel"/>
    <w:tmpl w:val="EFAE8216"/>
    <w:lvl w:ilvl="0" w:tplc="F3FA7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7C93"/>
    <w:multiLevelType w:val="multilevel"/>
    <w:tmpl w:val="BCDE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C29CF"/>
    <w:multiLevelType w:val="hybridMultilevel"/>
    <w:tmpl w:val="6C9AE502"/>
    <w:lvl w:ilvl="0" w:tplc="F3FA7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2BA3"/>
    <w:multiLevelType w:val="hybridMultilevel"/>
    <w:tmpl w:val="5B8EC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52E9"/>
    <w:multiLevelType w:val="hybridMultilevel"/>
    <w:tmpl w:val="EF148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556B"/>
    <w:multiLevelType w:val="hybridMultilevel"/>
    <w:tmpl w:val="4F0E5FF2"/>
    <w:lvl w:ilvl="0" w:tplc="2626F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2B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67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00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84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E1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67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01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2B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766FA8"/>
    <w:multiLevelType w:val="hybridMultilevel"/>
    <w:tmpl w:val="AD7011F4"/>
    <w:lvl w:ilvl="0" w:tplc="F3FA7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5CCF2876"/>
    <w:multiLevelType w:val="hybridMultilevel"/>
    <w:tmpl w:val="CCDA7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7DE"/>
    <w:multiLevelType w:val="hybridMultilevel"/>
    <w:tmpl w:val="9AE03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C25F3"/>
    <w:multiLevelType w:val="hybridMultilevel"/>
    <w:tmpl w:val="78CA45AA"/>
    <w:lvl w:ilvl="0" w:tplc="488EF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B87"/>
    <w:multiLevelType w:val="multilevel"/>
    <w:tmpl w:val="E0D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57A15"/>
    <w:multiLevelType w:val="hybridMultilevel"/>
    <w:tmpl w:val="9D740DB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2A15FA6"/>
    <w:multiLevelType w:val="hybridMultilevel"/>
    <w:tmpl w:val="606EF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7E"/>
    <w:rsid w:val="00005662"/>
    <w:rsid w:val="00016278"/>
    <w:rsid w:val="00033060"/>
    <w:rsid w:val="00045501"/>
    <w:rsid w:val="000645C0"/>
    <w:rsid w:val="00076546"/>
    <w:rsid w:val="000C7201"/>
    <w:rsid w:val="00102022"/>
    <w:rsid w:val="00107D3C"/>
    <w:rsid w:val="00126A4F"/>
    <w:rsid w:val="00164827"/>
    <w:rsid w:val="0017327D"/>
    <w:rsid w:val="00190354"/>
    <w:rsid w:val="001919F4"/>
    <w:rsid w:val="001922FC"/>
    <w:rsid w:val="00192738"/>
    <w:rsid w:val="001B7F3B"/>
    <w:rsid w:val="001E2FC3"/>
    <w:rsid w:val="001E4CAC"/>
    <w:rsid w:val="001F2F01"/>
    <w:rsid w:val="002043B2"/>
    <w:rsid w:val="0023168C"/>
    <w:rsid w:val="00262181"/>
    <w:rsid w:val="002718A2"/>
    <w:rsid w:val="00297CE8"/>
    <w:rsid w:val="002A5FBC"/>
    <w:rsid w:val="002B190A"/>
    <w:rsid w:val="002B706C"/>
    <w:rsid w:val="002D6C4A"/>
    <w:rsid w:val="002F43D7"/>
    <w:rsid w:val="0031225F"/>
    <w:rsid w:val="003246C9"/>
    <w:rsid w:val="00352DB3"/>
    <w:rsid w:val="00354E5E"/>
    <w:rsid w:val="00365624"/>
    <w:rsid w:val="0037667E"/>
    <w:rsid w:val="003D2B35"/>
    <w:rsid w:val="003E2FBB"/>
    <w:rsid w:val="003F3C45"/>
    <w:rsid w:val="00401D7A"/>
    <w:rsid w:val="00411073"/>
    <w:rsid w:val="00415D8D"/>
    <w:rsid w:val="00431595"/>
    <w:rsid w:val="00434E15"/>
    <w:rsid w:val="00441CD8"/>
    <w:rsid w:val="004648BD"/>
    <w:rsid w:val="004652C5"/>
    <w:rsid w:val="00481DCF"/>
    <w:rsid w:val="00497E52"/>
    <w:rsid w:val="004A7452"/>
    <w:rsid w:val="004A79E9"/>
    <w:rsid w:val="004C3498"/>
    <w:rsid w:val="004C3507"/>
    <w:rsid w:val="004C64F8"/>
    <w:rsid w:val="004E6767"/>
    <w:rsid w:val="004E69B8"/>
    <w:rsid w:val="004F7D74"/>
    <w:rsid w:val="00504332"/>
    <w:rsid w:val="00520DD1"/>
    <w:rsid w:val="005216B3"/>
    <w:rsid w:val="005249C2"/>
    <w:rsid w:val="0052777F"/>
    <w:rsid w:val="005446D0"/>
    <w:rsid w:val="00545660"/>
    <w:rsid w:val="00552DC3"/>
    <w:rsid w:val="005C6B31"/>
    <w:rsid w:val="005E2444"/>
    <w:rsid w:val="005F4F50"/>
    <w:rsid w:val="005F54D5"/>
    <w:rsid w:val="006034C6"/>
    <w:rsid w:val="00606264"/>
    <w:rsid w:val="0060650F"/>
    <w:rsid w:val="0062110E"/>
    <w:rsid w:val="0065219E"/>
    <w:rsid w:val="00670DAC"/>
    <w:rsid w:val="0067445F"/>
    <w:rsid w:val="0067689E"/>
    <w:rsid w:val="00676C36"/>
    <w:rsid w:val="006846DE"/>
    <w:rsid w:val="006866A7"/>
    <w:rsid w:val="006A2D0E"/>
    <w:rsid w:val="006A641D"/>
    <w:rsid w:val="006A7BEA"/>
    <w:rsid w:val="006D54CC"/>
    <w:rsid w:val="006F2440"/>
    <w:rsid w:val="006F318E"/>
    <w:rsid w:val="006F639E"/>
    <w:rsid w:val="006F7D13"/>
    <w:rsid w:val="007015B8"/>
    <w:rsid w:val="0073261F"/>
    <w:rsid w:val="00734FCF"/>
    <w:rsid w:val="00747324"/>
    <w:rsid w:val="00757C25"/>
    <w:rsid w:val="00785DF1"/>
    <w:rsid w:val="007B061F"/>
    <w:rsid w:val="007D0188"/>
    <w:rsid w:val="007E1E10"/>
    <w:rsid w:val="007F592B"/>
    <w:rsid w:val="00801AAE"/>
    <w:rsid w:val="0080658D"/>
    <w:rsid w:val="0081725E"/>
    <w:rsid w:val="00823A37"/>
    <w:rsid w:val="0082493F"/>
    <w:rsid w:val="00846805"/>
    <w:rsid w:val="00861122"/>
    <w:rsid w:val="008A2944"/>
    <w:rsid w:val="008B0239"/>
    <w:rsid w:val="008D1E64"/>
    <w:rsid w:val="008E6048"/>
    <w:rsid w:val="008F0635"/>
    <w:rsid w:val="008F5F0B"/>
    <w:rsid w:val="008F6689"/>
    <w:rsid w:val="009109CA"/>
    <w:rsid w:val="00913D66"/>
    <w:rsid w:val="00947F9F"/>
    <w:rsid w:val="00956078"/>
    <w:rsid w:val="009708CB"/>
    <w:rsid w:val="0098193B"/>
    <w:rsid w:val="0098530B"/>
    <w:rsid w:val="00985701"/>
    <w:rsid w:val="009B042C"/>
    <w:rsid w:val="009C16E3"/>
    <w:rsid w:val="009D6DF0"/>
    <w:rsid w:val="009E4344"/>
    <w:rsid w:val="009E537E"/>
    <w:rsid w:val="009F0F5C"/>
    <w:rsid w:val="009F26E5"/>
    <w:rsid w:val="00A47539"/>
    <w:rsid w:val="00A53400"/>
    <w:rsid w:val="00A545FF"/>
    <w:rsid w:val="00A56239"/>
    <w:rsid w:val="00A651E3"/>
    <w:rsid w:val="00A817A7"/>
    <w:rsid w:val="00AA1C2A"/>
    <w:rsid w:val="00AA61BE"/>
    <w:rsid w:val="00AB01A0"/>
    <w:rsid w:val="00AD23DB"/>
    <w:rsid w:val="00AD6761"/>
    <w:rsid w:val="00AF7318"/>
    <w:rsid w:val="00B0177D"/>
    <w:rsid w:val="00B14309"/>
    <w:rsid w:val="00B15BF2"/>
    <w:rsid w:val="00B23561"/>
    <w:rsid w:val="00B23FDB"/>
    <w:rsid w:val="00B248FE"/>
    <w:rsid w:val="00B271E3"/>
    <w:rsid w:val="00B355CC"/>
    <w:rsid w:val="00B372ED"/>
    <w:rsid w:val="00B6694F"/>
    <w:rsid w:val="00BA30D7"/>
    <w:rsid w:val="00BB64C7"/>
    <w:rsid w:val="00BC5D1B"/>
    <w:rsid w:val="00C073E8"/>
    <w:rsid w:val="00C266DA"/>
    <w:rsid w:val="00C526C0"/>
    <w:rsid w:val="00C55323"/>
    <w:rsid w:val="00C574F1"/>
    <w:rsid w:val="00C707BD"/>
    <w:rsid w:val="00C809FE"/>
    <w:rsid w:val="00C8570F"/>
    <w:rsid w:val="00C93134"/>
    <w:rsid w:val="00C956DD"/>
    <w:rsid w:val="00CB1D67"/>
    <w:rsid w:val="00CD42E7"/>
    <w:rsid w:val="00D057C4"/>
    <w:rsid w:val="00D238FE"/>
    <w:rsid w:val="00D332FC"/>
    <w:rsid w:val="00D33FFC"/>
    <w:rsid w:val="00D425F8"/>
    <w:rsid w:val="00D53AB4"/>
    <w:rsid w:val="00D57D51"/>
    <w:rsid w:val="00D75E08"/>
    <w:rsid w:val="00D8238E"/>
    <w:rsid w:val="00D82F3C"/>
    <w:rsid w:val="00D900D4"/>
    <w:rsid w:val="00DB37EC"/>
    <w:rsid w:val="00DD3940"/>
    <w:rsid w:val="00DF5685"/>
    <w:rsid w:val="00E001CE"/>
    <w:rsid w:val="00E10A0A"/>
    <w:rsid w:val="00E1638A"/>
    <w:rsid w:val="00E23EA7"/>
    <w:rsid w:val="00E37AAD"/>
    <w:rsid w:val="00E572CD"/>
    <w:rsid w:val="00E76D37"/>
    <w:rsid w:val="00E87207"/>
    <w:rsid w:val="00E905FB"/>
    <w:rsid w:val="00EC3389"/>
    <w:rsid w:val="00EE2F83"/>
    <w:rsid w:val="00EE54C9"/>
    <w:rsid w:val="00F01ECF"/>
    <w:rsid w:val="00F04C75"/>
    <w:rsid w:val="00F20335"/>
    <w:rsid w:val="00F356D4"/>
    <w:rsid w:val="00F3596F"/>
    <w:rsid w:val="00F40839"/>
    <w:rsid w:val="00F47AD3"/>
    <w:rsid w:val="00F503A7"/>
    <w:rsid w:val="00F51BFF"/>
    <w:rsid w:val="00F60E04"/>
    <w:rsid w:val="00F623B8"/>
    <w:rsid w:val="00F67C64"/>
    <w:rsid w:val="00F86A99"/>
    <w:rsid w:val="00F86E20"/>
    <w:rsid w:val="00F90AC1"/>
    <w:rsid w:val="00F9373F"/>
    <w:rsid w:val="00F93A18"/>
    <w:rsid w:val="00FA6629"/>
    <w:rsid w:val="00FB473F"/>
    <w:rsid w:val="00FB63E0"/>
    <w:rsid w:val="00FC27A4"/>
    <w:rsid w:val="00FD63C9"/>
    <w:rsid w:val="00FE38B3"/>
    <w:rsid w:val="00FE4EF4"/>
    <w:rsid w:val="00FE60EE"/>
    <w:rsid w:val="00FF5FF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F5845"/>
  <w15:chartTrackingRefBased/>
  <w15:docId w15:val="{A982076F-5435-4A97-985D-0BE7E433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D66"/>
  </w:style>
  <w:style w:type="paragraph" w:styleId="AltBilgi">
    <w:name w:val="footer"/>
    <w:basedOn w:val="Normal"/>
    <w:link w:val="AltBilgiChar"/>
    <w:uiPriority w:val="99"/>
    <w:unhideWhenUsed/>
    <w:rsid w:val="0091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D66"/>
  </w:style>
  <w:style w:type="paragraph" w:styleId="ListeParagraf">
    <w:name w:val="List Paragraph"/>
    <w:basedOn w:val="Normal"/>
    <w:uiPriority w:val="34"/>
    <w:unhideWhenUsed/>
    <w:qFormat/>
    <w:rsid w:val="00C956DD"/>
    <w:pPr>
      <w:spacing w:after="0" w:line="312" w:lineRule="auto"/>
      <w:ind w:left="72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oypena">
    <w:name w:val="oypena"/>
    <w:basedOn w:val="VarsaylanParagrafYazTipi"/>
    <w:rsid w:val="00C956DD"/>
  </w:style>
  <w:style w:type="paragraph" w:styleId="BalonMetni">
    <w:name w:val="Balloon Text"/>
    <w:basedOn w:val="Normal"/>
    <w:link w:val="BalonMetniChar"/>
    <w:uiPriority w:val="99"/>
    <w:semiHidden/>
    <w:unhideWhenUsed/>
    <w:rsid w:val="0010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02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809F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1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lnt">
    <w:name w:val="Intense Quote"/>
    <w:basedOn w:val="Normal"/>
    <w:next w:val="Normal"/>
    <w:link w:val="GlAlntChar"/>
    <w:uiPriority w:val="30"/>
    <w:qFormat/>
    <w:rsid w:val="008249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493F"/>
    <w:rPr>
      <w:i/>
      <w:iCs/>
      <w:color w:val="5B9BD5" w:themeColor="accent1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2493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493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4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CC64-C5FA-44DA-BD82-6E05AF9F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ACSHB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setenay horuztepe</dc:creator>
  <cp:keywords/>
  <dc:description/>
  <cp:lastModifiedBy>Uğur Akgün</cp:lastModifiedBy>
  <cp:revision>155</cp:revision>
  <cp:lastPrinted>2024-08-01T10:36:00Z</cp:lastPrinted>
  <dcterms:created xsi:type="dcterms:W3CDTF">2024-08-01T10:26:00Z</dcterms:created>
  <dcterms:modified xsi:type="dcterms:W3CDTF">2024-08-26T08:13:00Z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ee7850cc29d7e3812fad6affdb8788d4b465f960b0de3a54047a7f1711d3e5ea</vt:lpwstr>
  </property>
</Properties>
</file>